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Pr="00C127F1" w:rsidRDefault="00B92CD6" w:rsidP="00B92CD6">
      <w:pPr>
        <w:pStyle w:val="rozdzial"/>
      </w:pPr>
      <w:bookmarkStart w:id="0" w:name="_GoBack"/>
      <w:bookmarkEnd w:id="0"/>
      <w:r w:rsidRPr="00C127F1">
        <w:t>Przedmioto</w:t>
      </w:r>
      <w:r w:rsidR="00C4141E">
        <w:t>wy system oceniania z fizyki w klasie VII</w:t>
      </w:r>
    </w:p>
    <w:tbl>
      <w:tblPr>
        <w:tblW w:w="0" w:type="auto"/>
        <w:tblLook w:val="000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rożróżnia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pojącie siły jako działania skierowan</w:t>
            </w:r>
            <w:r w:rsidRPr="00C127F1">
              <w:t>e</w:t>
            </w:r>
            <w:r w:rsidRPr="00C127F1">
              <w:t xml:space="preserve">go (wektor); wskazuje wartość, kierunek </w:t>
            </w:r>
            <w:r w:rsidRPr="00C127F1">
              <w:lastRenderedPageBreak/>
              <w:t>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lastRenderedPageBreak/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określa cechy siły wypadkowej kilku (więcej </w:t>
            </w:r>
            <w:r w:rsidRPr="00C127F1">
              <w:lastRenderedPageBreak/>
              <w:t>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internetu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określa pojęcie gęstości; podaje związek gęstości z masą i objętością oraz jednostkę </w:t>
            </w:r>
            <w:r w:rsidRPr="00C127F1">
              <w:lastRenderedPageBreak/>
              <w:t>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lastRenderedPageBreak/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lastRenderedPageBreak/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w różnych stanach skupienia wynikające z budowy mikroskopowej ciał stałych, cieczy i gazów (analizuje zmiany gęstości przy zmianie stanu skupienia, zwłaszcza </w:t>
            </w:r>
            <w:r w:rsidRPr="00C127F1">
              <w:lastRenderedPageBreak/>
              <w:t>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</w:t>
            </w:r>
            <w:r w:rsidRPr="00C127F1">
              <w:lastRenderedPageBreak/>
              <w:t xml:space="preserve">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lastRenderedPageBreak/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 xml:space="preserve">śnieniem, parciem i polem powierzchni, </w:t>
            </w:r>
            <w:r w:rsidRPr="00C127F1">
              <w:lastRenderedPageBreak/>
              <w:t>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rozpoznaje zależność rosnącą na podstawie </w:t>
            </w:r>
            <w:r w:rsidRPr="00C127F1">
              <w:lastRenderedPageBreak/>
              <w:t>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lastRenderedPageBreak/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9A03A8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lastRenderedPageBreak/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lastRenderedPageBreak/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A03A8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9A03A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lastRenderedPageBreak/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A03A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9A03A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>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planuje i demonstruje doświadczenie związane z badaniem ruchu z użyciem </w:t>
            </w:r>
            <w:r w:rsidRPr="00C127F1">
              <w:lastRenderedPageBreak/>
              <w:t>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lastRenderedPageBreak/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lastRenderedPageBreak/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9A03A8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9A03A8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 xml:space="preserve">nek działającej na ciało siły jest zgodny </w:t>
            </w:r>
            <w:r w:rsidRPr="00C127F1">
              <w:lastRenderedPageBreak/>
              <w:t>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9A03A8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związek między siłą ciężkości, masą </w:t>
            </w:r>
            <w:r w:rsidRPr="00C127F1">
              <w:lastRenderedPageBreak/>
              <w:t>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</w:t>
            </w:r>
            <w:r w:rsidRPr="0011106B">
              <w:lastRenderedPageBreak/>
              <w:t>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9A03A8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geometryczną interpretację pracy) </w:t>
            </w:r>
            <w:r w:rsidRPr="00C127F1">
              <w:lastRenderedPageBreak/>
              <w:t>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 xml:space="preserve">postaci ciepła; wskazuje odpowiednie </w:t>
            </w:r>
            <w:r w:rsidRPr="00C127F1">
              <w:lastRenderedPageBreak/>
              <w:t>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>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temperaturą a średnią energią kinetyczną </w:t>
            </w:r>
            <w:r w:rsidRPr="00C127F1">
              <w:lastRenderedPageBreak/>
              <w:t>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lastRenderedPageBreak/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9A03A8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lastRenderedPageBreak/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9A03A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9A03A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547B85">
              <w:fldChar w:fldCharType="end"/>
            </w:r>
            <w:r w:rsidRPr="00C127F1">
              <w:t xml:space="preserve">, zależności </w:t>
            </w:r>
            <w:r w:rsidR="009A03A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3A8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9A03A8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 xml:space="preserve">świadczenia, że przyrost temperatury ciała jest wprost proporcjonalny do ilościpobranego przez ciało ciepła oraz, </w:t>
            </w:r>
            <w:r w:rsidRPr="00C127F1">
              <w:lastRenderedPageBreak/>
              <w:t>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lastRenderedPageBreak/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lastRenderedPageBreak/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sectPr w:rsidR="00372F93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77" w:rsidRDefault="00B77577" w:rsidP="00BD0596">
      <w:r>
        <w:separator/>
      </w:r>
    </w:p>
  </w:endnote>
  <w:endnote w:type="continuationSeparator" w:id="1">
    <w:p w:rsidR="00B77577" w:rsidRDefault="00B77577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BD0596" w:rsidP="00BD0596">
    <w:pPr>
      <w:pStyle w:val="stopkaSc"/>
    </w:pPr>
    <w:r>
      <w:t>Autor: Teresa Szalewska © Copyright by Nowa Era Sp. z o.o. • www.nowaera.pl</w:t>
    </w:r>
  </w:p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77" w:rsidRDefault="00B77577" w:rsidP="00BD0596">
      <w:r>
        <w:separator/>
      </w:r>
    </w:p>
  </w:footnote>
  <w:footnote w:type="continuationSeparator" w:id="1">
    <w:p w:rsidR="00B77577" w:rsidRDefault="00B77577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9A03A8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BD0596" w:rsidRPr="00A65C11" w:rsidRDefault="009A03A8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BD0596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735925" w:rsidRPr="00735925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17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BD0596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D0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E7C17"/>
    <w:rsid w:val="00272901"/>
    <w:rsid w:val="002B11B2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735925"/>
    <w:rsid w:val="00760232"/>
    <w:rsid w:val="00791A66"/>
    <w:rsid w:val="00885CAA"/>
    <w:rsid w:val="00902585"/>
    <w:rsid w:val="009027AB"/>
    <w:rsid w:val="00990B1B"/>
    <w:rsid w:val="009A03A8"/>
    <w:rsid w:val="009C60D0"/>
    <w:rsid w:val="00A65C11"/>
    <w:rsid w:val="00A948B5"/>
    <w:rsid w:val="00AA4615"/>
    <w:rsid w:val="00AF6613"/>
    <w:rsid w:val="00B52C19"/>
    <w:rsid w:val="00B74762"/>
    <w:rsid w:val="00B77577"/>
    <w:rsid w:val="00B92CD6"/>
    <w:rsid w:val="00BD0596"/>
    <w:rsid w:val="00C0057D"/>
    <w:rsid w:val="00C4141E"/>
    <w:rsid w:val="00C7648F"/>
    <w:rsid w:val="00CB6AE8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03A8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A03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9A03A8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9A03A8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9A03A8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9A03A8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9A03A8"/>
    <w:pPr>
      <w:jc w:val="center"/>
    </w:pPr>
  </w:style>
  <w:style w:type="character" w:customStyle="1" w:styleId="dzial-B">
    <w:name w:val="dzial-B"/>
    <w:uiPriority w:val="99"/>
    <w:rsid w:val="009A03A8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2859-34F5-400C-BD15-8C0779B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7223</Words>
  <Characters>43339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Użytkownik systemu Windows</cp:lastModifiedBy>
  <cp:revision>2</cp:revision>
  <dcterms:created xsi:type="dcterms:W3CDTF">2018-09-08T14:20:00Z</dcterms:created>
  <dcterms:modified xsi:type="dcterms:W3CDTF">2018-09-08T14:20:00Z</dcterms:modified>
</cp:coreProperties>
</file>